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1825" w14:textId="77777777" w:rsidR="00E86533" w:rsidRDefault="00AA77C0">
      <w:r>
        <w:rPr>
          <w:noProof/>
          <w:lang w:eastAsia="de-DE"/>
        </w:rPr>
        <w:drawing>
          <wp:inline distT="0" distB="0" distL="0" distR="0" wp14:anchorId="0263296C" wp14:editId="3138CFE1">
            <wp:extent cx="5819775" cy="685902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4500" cy="686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5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7C0"/>
    <w:rsid w:val="0013136E"/>
    <w:rsid w:val="00AA77C0"/>
    <w:rsid w:val="00E8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E5DB"/>
  <w15:chartTrackingRefBased/>
  <w15:docId w15:val="{54EEC63B-C4DB-48E9-A104-5FC93B19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Schweinfurt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Strauß, Philip</dc:creator>
  <cp:keywords/>
  <dc:description/>
  <cp:lastModifiedBy>Claus-Dieter Schilling</cp:lastModifiedBy>
  <cp:revision>2</cp:revision>
  <dcterms:created xsi:type="dcterms:W3CDTF">2021-07-24T14:58:00Z</dcterms:created>
  <dcterms:modified xsi:type="dcterms:W3CDTF">2021-07-24T14:58:00Z</dcterms:modified>
</cp:coreProperties>
</file>